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928" w:rsidRPr="00DD4928" w:rsidRDefault="00DD4928" w:rsidP="00FB7346">
      <w:pPr>
        <w:spacing w:after="0" w:line="360" w:lineRule="auto"/>
        <w:jc w:val="both"/>
        <w:rPr>
          <w:rFonts w:ascii="Times New Roman" w:eastAsia="Times New Roman" w:hAnsi="Times New Roman" w:cs="Times New Roman"/>
          <w:b/>
          <w:sz w:val="30"/>
          <w:szCs w:val="24"/>
        </w:rPr>
      </w:pPr>
      <w:r w:rsidRPr="00DD4928">
        <w:rPr>
          <w:rFonts w:ascii="Times New Roman" w:eastAsia="Times New Roman" w:hAnsi="Times New Roman" w:cs="Times New Roman"/>
          <w:b/>
          <w:sz w:val="30"/>
          <w:szCs w:val="24"/>
        </w:rPr>
        <w:t>Phân tích Cổ phiếu CTCP Vật tư kỹ thuật nông nghiệp Cần Thơ - TSC</w:t>
      </w:r>
    </w:p>
    <w:p w:rsidR="00DD4928" w:rsidRDefault="00DD4928" w:rsidP="00FB7346">
      <w:pPr>
        <w:spacing w:after="0" w:line="360" w:lineRule="auto"/>
        <w:jc w:val="both"/>
        <w:rPr>
          <w:rFonts w:ascii="Times New Roman" w:eastAsia="Times New Roman" w:hAnsi="Times New Roman" w:cs="Times New Roman"/>
          <w:b/>
          <w:bCs/>
          <w:sz w:val="28"/>
          <w:szCs w:val="28"/>
        </w:rPr>
      </w:pPr>
    </w:p>
    <w:p w:rsidR="00DD4928" w:rsidRDefault="00DD4928" w:rsidP="00FB7346">
      <w:pPr>
        <w:spacing w:after="0" w:line="360" w:lineRule="auto"/>
        <w:jc w:val="both"/>
        <w:rPr>
          <w:rFonts w:ascii="Times New Roman" w:eastAsia="Times New Roman" w:hAnsi="Times New Roman" w:cs="Times New Roman"/>
          <w:b/>
          <w:bCs/>
          <w:sz w:val="28"/>
          <w:szCs w:val="28"/>
        </w:rPr>
      </w:pPr>
      <w:r w:rsidRPr="00DD4928">
        <w:rPr>
          <w:rFonts w:ascii="Times New Roman" w:eastAsia="Times New Roman" w:hAnsi="Times New Roman" w:cs="Times New Roman"/>
          <w:b/>
          <w:bCs/>
          <w:sz w:val="28"/>
          <w:szCs w:val="28"/>
        </w:rPr>
        <w:t xml:space="preserve">Giới thiệu </w:t>
      </w:r>
      <w:proofErr w:type="gramStart"/>
      <w:r w:rsidRPr="00DD4928">
        <w:rPr>
          <w:rFonts w:ascii="Times New Roman" w:eastAsia="Times New Roman" w:hAnsi="Times New Roman" w:cs="Times New Roman"/>
          <w:b/>
          <w:bCs/>
          <w:sz w:val="28"/>
          <w:szCs w:val="28"/>
        </w:rPr>
        <w:t>chung</w:t>
      </w:r>
      <w:proofErr w:type="gramEnd"/>
    </w:p>
    <w:p w:rsidR="00DD4928" w:rsidRPr="00DD4928" w:rsidRDefault="00DD4928" w:rsidP="00FB7346">
      <w:pPr>
        <w:spacing w:after="0" w:line="360" w:lineRule="auto"/>
        <w:jc w:val="both"/>
        <w:rPr>
          <w:rFonts w:ascii="Times New Roman" w:eastAsia="Times New Roman" w:hAnsi="Times New Roman" w:cs="Times New Roman"/>
          <w:sz w:val="24"/>
          <w:szCs w:val="24"/>
        </w:rPr>
      </w:pP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Lịch sử hình thành &amp; phát triển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Công ty Cổ Phần Vật Tư Kỹ Thuật Nông Nghiệp Cần Thơ tiền thân là Công ty Vật tư Nông nghiệp Hậu Giang có lịch sử hình thành và phát triển đến nay đã trên 30 năm</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TSC có trụ sở tại 1D Phạm Ngũ Lão, Phường Thái Bình, quận Ninh Kiều, Cần Thơ</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CTCP Vật tư Kỹ thuật Nông nghiệp Cần Thơ được thành lập </w:t>
      </w:r>
      <w:proofErr w:type="gramStart"/>
      <w:r w:rsidRPr="00DD4928">
        <w:rPr>
          <w:rFonts w:ascii="Times New Roman" w:eastAsia="Times New Roman" w:hAnsi="Times New Roman" w:cs="Times New Roman"/>
          <w:sz w:val="24"/>
          <w:szCs w:val="24"/>
        </w:rPr>
        <w:t>theo</w:t>
      </w:r>
      <w:proofErr w:type="gramEnd"/>
      <w:r w:rsidRPr="00DD4928">
        <w:rPr>
          <w:rFonts w:ascii="Times New Roman" w:eastAsia="Times New Roman" w:hAnsi="Times New Roman" w:cs="Times New Roman"/>
          <w:sz w:val="24"/>
          <w:szCs w:val="24"/>
        </w:rPr>
        <w:t xml:space="preserve"> Quyết định số 2500/QĐ - CT.UB ngày 25/07/2003 của CT UBND tỉnh Cần Thơ với VĐL 60 tỷ đồng.</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Ngày 04/10/2007, toàn bộ 8.312.915 CP TSC đã được niêm yết trên HOSE.</w:t>
      </w:r>
    </w:p>
    <w:tbl>
      <w:tblPr>
        <w:tblpPr w:leftFromText="45" w:rightFromText="45" w:vertAnchor="text"/>
        <w:tblW w:w="0" w:type="auto"/>
        <w:tblCellSpacing w:w="0" w:type="dxa"/>
        <w:tblCellMar>
          <w:left w:w="0" w:type="dxa"/>
          <w:right w:w="0" w:type="dxa"/>
        </w:tblCellMar>
        <w:tblLook w:val="04A0"/>
      </w:tblPr>
      <w:tblGrid>
        <w:gridCol w:w="9965"/>
      </w:tblGrid>
      <w:tr w:rsidR="00DD4928" w:rsidRPr="00DD4928" w:rsidTr="00DD4928">
        <w:trPr>
          <w:tblCellSpacing w:w="0" w:type="dxa"/>
        </w:trPr>
        <w:tc>
          <w:tcPr>
            <w:tcW w:w="0" w:type="auto"/>
            <w:tcBorders>
              <w:top w:val="nil"/>
              <w:left w:val="nil"/>
              <w:bottom w:val="nil"/>
              <w:right w:val="nil"/>
            </w:tcBorders>
            <w:shd w:val="clear" w:color="auto" w:fill="auto"/>
            <w:tcMar>
              <w:top w:w="0" w:type="dxa"/>
              <w:left w:w="180" w:type="dxa"/>
              <w:bottom w:w="0" w:type="dxa"/>
              <w:right w:w="180" w:type="dxa"/>
            </w:tcMar>
            <w:hideMark/>
          </w:tcPr>
          <w:p w:rsidR="00DD4928" w:rsidRDefault="00DD4928" w:rsidP="00FB7346">
            <w:pPr>
              <w:spacing w:after="0" w:line="360" w:lineRule="auto"/>
              <w:jc w:val="both"/>
              <w:rPr>
                <w:rFonts w:ascii="Times New Roman" w:eastAsia="Times New Roman" w:hAnsi="Times New Roman" w:cs="Times New Roman"/>
                <w:b/>
                <w:bCs/>
                <w:color w:val="FF0000"/>
                <w:sz w:val="24"/>
                <w:szCs w:val="24"/>
              </w:rPr>
            </w:pP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Ngành nghề kinh doanh:</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Nhập khẩu kinh doanh phân bón các loại;</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Thu mua, gia công, chế biến, cung ứng xuất khẩu gạo và các loại nông sản;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Nhập khẩu, kinh doanh máy móc thiết bị và tư liệu sản xuất phục vụ nông nghiệp;</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Đại lý cung ứng các loại tư liệu sản xuất phục vụ cho sản xuất nông nghiệp;</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Nhập khẩu, kinh doanh nguyên liệu sản xuất, thức ăn gia súc, thức ăn thủy sản;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Sản xuất thức ăn gia súc, thức ăn thủy sản;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Nhập khẩu, kinh doanh nguyên liệu, phụ liệu sản xuất thuốc bảo vệ thực vật và các chế phẩm phân bón;</w:t>
            </w:r>
          </w:p>
        </w:tc>
      </w:tr>
    </w:tbl>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 Nhập khẩu, kinh doanh hạt giống phục vụ sản xuất nông nghiệp.</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Cơ cấu cổ đông</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Đến ngày 31/12/2007, cơ cấu cổ đông của TSC như sau:</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Vốn Nhà nước (Tổng Công ty Đầu Tư Kinh</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Doanh Vốn Nhà </w:t>
      </w:r>
      <w:proofErr w:type="gramStart"/>
      <w:r w:rsidRPr="00DD4928">
        <w:rPr>
          <w:rFonts w:ascii="Times New Roman" w:eastAsia="Times New Roman" w:hAnsi="Times New Roman" w:cs="Times New Roman"/>
          <w:sz w:val="24"/>
          <w:szCs w:val="24"/>
        </w:rPr>
        <w:t>Nước(</w:t>
      </w:r>
      <w:proofErr w:type="gramEnd"/>
      <w:r w:rsidRPr="00DD4928">
        <w:rPr>
          <w:rFonts w:ascii="Times New Roman" w:eastAsia="Times New Roman" w:hAnsi="Times New Roman" w:cs="Times New Roman"/>
          <w:sz w:val="24"/>
          <w:szCs w:val="24"/>
        </w:rPr>
        <w:t>SCIC) : 48,11%</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Vốn của người lao động trong công </w:t>
      </w:r>
      <w:proofErr w:type="gramStart"/>
      <w:r w:rsidRPr="00DD4928">
        <w:rPr>
          <w:rFonts w:ascii="Times New Roman" w:eastAsia="Times New Roman" w:hAnsi="Times New Roman" w:cs="Times New Roman"/>
          <w:sz w:val="24"/>
          <w:szCs w:val="24"/>
        </w:rPr>
        <w:t>ty :</w:t>
      </w:r>
      <w:proofErr w:type="gramEnd"/>
      <w:r w:rsidRPr="00DD4928">
        <w:rPr>
          <w:rFonts w:ascii="Times New Roman" w:eastAsia="Times New Roman" w:hAnsi="Times New Roman" w:cs="Times New Roman"/>
          <w:sz w:val="24"/>
          <w:szCs w:val="24"/>
        </w:rPr>
        <w:t xml:space="preserve"> 8,00%</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Vốn của Đại lý tiêu thụ, nhà cung </w:t>
      </w:r>
      <w:proofErr w:type="gramStart"/>
      <w:r w:rsidRPr="00DD4928">
        <w:rPr>
          <w:rFonts w:ascii="Times New Roman" w:eastAsia="Times New Roman" w:hAnsi="Times New Roman" w:cs="Times New Roman"/>
          <w:sz w:val="24"/>
          <w:szCs w:val="24"/>
        </w:rPr>
        <w:t>cấp :</w:t>
      </w:r>
      <w:proofErr w:type="gramEnd"/>
      <w:r w:rsidRPr="00DD4928">
        <w:rPr>
          <w:rFonts w:ascii="Times New Roman" w:eastAsia="Times New Roman" w:hAnsi="Times New Roman" w:cs="Times New Roman"/>
          <w:sz w:val="24"/>
          <w:szCs w:val="24"/>
        </w:rPr>
        <w:t xml:space="preserve"> 24,50%</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Vốn cổ đông ngoài công ty: 6</w:t>
      </w:r>
      <w:proofErr w:type="gramStart"/>
      <w:r w:rsidRPr="00DD4928">
        <w:rPr>
          <w:rFonts w:ascii="Times New Roman" w:eastAsia="Times New Roman" w:hAnsi="Times New Roman" w:cs="Times New Roman"/>
          <w:sz w:val="24"/>
          <w:szCs w:val="24"/>
        </w:rPr>
        <w:t>,89</w:t>
      </w:r>
      <w:proofErr w:type="gramEnd"/>
      <w:r w:rsidRPr="00DD4928">
        <w:rPr>
          <w:rFonts w:ascii="Times New Roman" w:eastAsia="Times New Roman" w:hAnsi="Times New Roman" w:cs="Times New Roman"/>
          <w:sz w:val="24"/>
          <w:szCs w:val="24"/>
        </w:rPr>
        <w:t>%</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Nhà đầu tư nước </w:t>
      </w:r>
      <w:proofErr w:type="gramStart"/>
      <w:r w:rsidRPr="00DD4928">
        <w:rPr>
          <w:rFonts w:ascii="Times New Roman" w:eastAsia="Times New Roman" w:hAnsi="Times New Roman" w:cs="Times New Roman"/>
          <w:sz w:val="24"/>
          <w:szCs w:val="24"/>
        </w:rPr>
        <w:t>ngoài :</w:t>
      </w:r>
      <w:proofErr w:type="gramEnd"/>
      <w:r w:rsidRPr="00DD4928">
        <w:rPr>
          <w:rFonts w:ascii="Times New Roman" w:eastAsia="Times New Roman" w:hAnsi="Times New Roman" w:cs="Times New Roman"/>
          <w:sz w:val="24"/>
          <w:szCs w:val="24"/>
        </w:rPr>
        <w:t xml:space="preserve"> 12,50%</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Đơn vị trực thuộc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lastRenderedPageBreak/>
        <w:t>TSC ngoài 1 chi nhánh tại Tp HCM, còn đang nắm giữ 97% vốn của CTPC Chế biến Thực phẩm Xuất khẩu miền Tây (WFC). Tuy nhiên đây là một đơn vị hạch toán độc lập.</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Default="00DD4928" w:rsidP="00FB7346">
      <w:pPr>
        <w:spacing w:after="0" w:line="360" w:lineRule="auto"/>
        <w:jc w:val="both"/>
        <w:rPr>
          <w:rFonts w:ascii="Times New Roman" w:eastAsia="Times New Roman" w:hAnsi="Times New Roman" w:cs="Times New Roman"/>
          <w:b/>
          <w:bCs/>
          <w:sz w:val="28"/>
          <w:szCs w:val="28"/>
        </w:rPr>
      </w:pPr>
      <w:r w:rsidRPr="00DD4928">
        <w:rPr>
          <w:rFonts w:ascii="Times New Roman" w:eastAsia="Times New Roman" w:hAnsi="Times New Roman" w:cs="Times New Roman"/>
          <w:b/>
          <w:bCs/>
          <w:sz w:val="28"/>
          <w:szCs w:val="28"/>
        </w:rPr>
        <w:t>Phân tích tình hình kinh doanh</w:t>
      </w:r>
    </w:p>
    <w:p w:rsidR="00DD4928" w:rsidRPr="00DD4928" w:rsidRDefault="00DD4928" w:rsidP="00FB7346">
      <w:pPr>
        <w:spacing w:after="0" w:line="360" w:lineRule="auto"/>
        <w:jc w:val="both"/>
        <w:rPr>
          <w:rFonts w:ascii="Times New Roman" w:eastAsia="Times New Roman" w:hAnsi="Times New Roman" w:cs="Times New Roman"/>
          <w:sz w:val="24"/>
          <w:szCs w:val="24"/>
        </w:rPr>
      </w:pP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Hai hoạt động kinh doanh chính đóng góp vào doanh </w:t>
      </w:r>
      <w:proofErr w:type="gramStart"/>
      <w:r w:rsidRPr="00DD4928">
        <w:rPr>
          <w:rFonts w:ascii="Times New Roman" w:eastAsia="Times New Roman" w:hAnsi="Times New Roman" w:cs="Times New Roman"/>
          <w:sz w:val="24"/>
          <w:szCs w:val="24"/>
        </w:rPr>
        <w:t>thu</w:t>
      </w:r>
      <w:proofErr w:type="gramEnd"/>
      <w:r w:rsidRPr="00DD4928">
        <w:rPr>
          <w:rFonts w:ascii="Times New Roman" w:eastAsia="Times New Roman" w:hAnsi="Times New Roman" w:cs="Times New Roman"/>
          <w:sz w:val="24"/>
          <w:szCs w:val="24"/>
        </w:rPr>
        <w:t xml:space="preserve"> của TSC là hoạt động nhập khẩu phân bón và xuất khẩu gạo</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 Nhập khẩu phân bón: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Từ kinh nghiệm trên 30 năm hoạt động trong lĩnh vực phân bón kết hợp với tính năng động, sáng tạo của bộ máy, từ hơn 10 năm nay Công ty Cổ Phần Vật Tư</w:t>
      </w:r>
      <w:proofErr w:type="gramStart"/>
      <w:r w:rsidRPr="00DD4928">
        <w:rPr>
          <w:rFonts w:ascii="Times New Roman" w:eastAsia="Times New Roman" w:hAnsi="Times New Roman" w:cs="Times New Roman"/>
          <w:sz w:val="24"/>
          <w:szCs w:val="24"/>
        </w:rPr>
        <w:t>  Kỹ</w:t>
      </w:r>
      <w:proofErr w:type="gramEnd"/>
      <w:r w:rsidRPr="00DD4928">
        <w:rPr>
          <w:rFonts w:ascii="Times New Roman" w:eastAsia="Times New Roman" w:hAnsi="Times New Roman" w:cs="Times New Roman"/>
          <w:sz w:val="24"/>
          <w:szCs w:val="24"/>
        </w:rPr>
        <w:t xml:space="preserve"> Thuật Nông Nghiệp Cần Thơ trở nên quen thuộc và có uy tín với tất cả các nhà cung cấp phân bón vào thị trường Việt Nam</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Số lượng nhập khẩu phân bón từ ngày 01/01/2008 đến 25/05/2008 đạt 105.115 tấn, kim ngạch 51</w:t>
      </w:r>
      <w:proofErr w:type="gramStart"/>
      <w:r w:rsidRPr="00DD4928">
        <w:rPr>
          <w:rFonts w:ascii="Times New Roman" w:eastAsia="Times New Roman" w:hAnsi="Times New Roman" w:cs="Times New Roman"/>
          <w:sz w:val="24"/>
          <w:szCs w:val="24"/>
        </w:rPr>
        <w:t>,21</w:t>
      </w:r>
      <w:proofErr w:type="gramEnd"/>
      <w:r w:rsidRPr="00DD4928">
        <w:rPr>
          <w:rFonts w:ascii="Times New Roman" w:eastAsia="Times New Roman" w:hAnsi="Times New Roman" w:cs="Times New Roman"/>
          <w:sz w:val="24"/>
          <w:szCs w:val="24"/>
        </w:rPr>
        <w:t xml:space="preserve"> triệu USD tăng 57,5% so với cùng kỳ năm 2007, đứng hàng thứ 3 trong những doanh nghiệp nhập khẩu lớn nhất Việt Nam.</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 Xuất khẩu gạo:</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Từ hơn 10 năm nay Công ty đã liên kết với một số doanh nghiệp có uy tín, kinh nghiệm như Hợp Tác xã Thanh Phong, Hợp Tác Xã Thành Lợi và một số doanh nghiệp chế biến gạo tại các tỉnh ĐBSCL để thu mua chế biến gạo xuất khẩu, cho dù lượng xuất khẩu gạo của Công ty hàng năm chưa nhiều nhưng trong hơn 10 năm qua không có bất kỳ sự phàn nàn nào từ phía khách hàng đối với Công ty về chất lượng gạo xuất khẩu cũng như các điều kiện khác trong hợp đồng xuất khẩu</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Số lượng gạo xuất khẩu từ đầu năm 2008 đến 25/05/2008 đạt 24.720 tấn, kim ngạch 11</w:t>
      </w:r>
      <w:proofErr w:type="gramStart"/>
      <w:r w:rsidRPr="00DD4928">
        <w:rPr>
          <w:rFonts w:ascii="Times New Roman" w:eastAsia="Times New Roman" w:hAnsi="Times New Roman" w:cs="Times New Roman"/>
          <w:sz w:val="24"/>
          <w:szCs w:val="24"/>
        </w:rPr>
        <w:t>,68</w:t>
      </w:r>
      <w:proofErr w:type="gramEnd"/>
      <w:r w:rsidRPr="00DD4928">
        <w:rPr>
          <w:rFonts w:ascii="Times New Roman" w:eastAsia="Times New Roman" w:hAnsi="Times New Roman" w:cs="Times New Roman"/>
          <w:sz w:val="24"/>
          <w:szCs w:val="24"/>
        </w:rPr>
        <w:t xml:space="preserve"> triệu USD tăng 11,50% so với cùng kỳ năm 2007, đứng hàng thứ 13 những đơn vị xuất</w:t>
      </w:r>
    </w:p>
    <w:p w:rsidR="00DD4928" w:rsidRPr="00DD4928" w:rsidRDefault="00DD4928" w:rsidP="00FB7346">
      <w:pPr>
        <w:spacing w:after="0" w:line="360" w:lineRule="auto"/>
        <w:jc w:val="both"/>
        <w:rPr>
          <w:rFonts w:ascii="Times New Roman" w:eastAsia="Times New Roman" w:hAnsi="Times New Roman" w:cs="Times New Roman"/>
          <w:sz w:val="24"/>
          <w:szCs w:val="24"/>
        </w:rPr>
      </w:pPr>
      <w:proofErr w:type="gramStart"/>
      <w:r w:rsidRPr="00DD4928">
        <w:rPr>
          <w:rFonts w:ascii="Times New Roman" w:eastAsia="Times New Roman" w:hAnsi="Times New Roman" w:cs="Times New Roman"/>
          <w:sz w:val="24"/>
          <w:szCs w:val="24"/>
        </w:rPr>
        <w:t>khẩu</w:t>
      </w:r>
      <w:proofErr w:type="gramEnd"/>
      <w:r w:rsidRPr="00DD4928">
        <w:rPr>
          <w:rFonts w:ascii="Times New Roman" w:eastAsia="Times New Roman" w:hAnsi="Times New Roman" w:cs="Times New Roman"/>
          <w:sz w:val="24"/>
          <w:szCs w:val="24"/>
        </w:rPr>
        <w:t xml:space="preserve"> gạo lớn nhất Việt Nam.</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Ngoài ra, TSC còn là đại lý một </w:t>
      </w:r>
      <w:r w:rsidRPr="00DD4928">
        <w:rPr>
          <w:rFonts w:ascii="Times New Roman" w:eastAsia="Times New Roman" w:hAnsi="Times New Roman" w:cs="Times New Roman"/>
          <w:color w:val="FF0000"/>
          <w:sz w:val="24"/>
          <w:szCs w:val="24"/>
        </w:rPr>
        <w:t>ĐẠI LÝ</w:t>
      </w:r>
      <w:r w:rsidRPr="00DD4928">
        <w:rPr>
          <w:rFonts w:ascii="Times New Roman" w:eastAsia="Times New Roman" w:hAnsi="Times New Roman" w:cs="Times New Roman"/>
          <w:sz w:val="24"/>
          <w:szCs w:val="24"/>
        </w:rPr>
        <w:t xml:space="preserve"> tiêu thụ Đạm Phú Mỹ của Công ty Phân Đạm và Hóa Chất Dầu Khí ở khu vực ĐBSCL.</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Default="00DD4928" w:rsidP="00FB7346">
      <w:pPr>
        <w:spacing w:after="0" w:line="360" w:lineRule="auto"/>
        <w:jc w:val="both"/>
        <w:rPr>
          <w:rFonts w:ascii="Times New Roman" w:eastAsia="Times New Roman" w:hAnsi="Times New Roman" w:cs="Times New Roman"/>
          <w:b/>
          <w:bCs/>
          <w:sz w:val="28"/>
          <w:szCs w:val="28"/>
        </w:rPr>
      </w:pPr>
      <w:r w:rsidRPr="00DD4928">
        <w:rPr>
          <w:rFonts w:ascii="Times New Roman" w:eastAsia="Times New Roman" w:hAnsi="Times New Roman" w:cs="Times New Roman"/>
          <w:b/>
          <w:bCs/>
          <w:sz w:val="28"/>
          <w:szCs w:val="28"/>
        </w:rPr>
        <w:t>Phân tích SWOT</w:t>
      </w:r>
    </w:p>
    <w:p w:rsidR="00DD4928" w:rsidRPr="00DD4928" w:rsidRDefault="00DD4928" w:rsidP="00FB7346">
      <w:pPr>
        <w:spacing w:after="0" w:line="360" w:lineRule="auto"/>
        <w:jc w:val="both"/>
        <w:rPr>
          <w:rFonts w:ascii="Times New Roman" w:eastAsia="Times New Roman" w:hAnsi="Times New Roman" w:cs="Times New Roman"/>
          <w:sz w:val="24"/>
          <w:szCs w:val="24"/>
        </w:rPr>
      </w:pP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Điểm mạnh:</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Công ty có môi quan hệ chặt chẽ và là khách hàng truyền thống của một sô nhà sản xuất cung cấp phân bón hàng đầu thê giới như: Agrosin, Mosaic, Yara Asia, Transammonia AG, Mitsubishi Corp., Helm, Phosphate Chemicals…</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lastRenderedPageBreak/>
        <w:t>- Có khoảng 50 đại lý cấp 1 ở khắp khu vực ĐB SCL, Đông Nam Bộ, Tây Nguyên và có nhiều đại lý là Cổ đông của TSC, điều này đã tạo ra một sự gắn bó mật thiết giữa cty và các đại lý tạo thuận lợi cho việc quản lý nhân sự và hiệu quả hoạt động.</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color w:val="333333"/>
          <w:sz w:val="24"/>
          <w:szCs w:val="24"/>
        </w:rPr>
        <w:t>- Thực hiện việc quản lý toàn bộ việc nhập, xuất phân bón tại khu vực Thành phố Hồ Chí Minh cũng như các đại lý.</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color w:val="333333"/>
          <w:sz w:val="24"/>
          <w:szCs w:val="24"/>
        </w:rPr>
        <w:t>- Bộ máy quản lý của cty được tổ chức tinh gọn, hiệu quả, có kinh nghiệm trong lĩnh vực hoạt động (75% có trình độ từ trung cấp, cao đẳng trở lên).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Điểm yếu:</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Chưa chú trọng đúng mức đến hoạt động Marketing, đặc biệt quảng cáo trên phương tiện thông tin đại chúng đã làm hạn chế sự phổ cập thương hiệu TSC ra thị trường.</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Cơ hội:</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Việt Nam gia nhập WTO sẽ mở rộng hơn thị trường xuất khẩu </w:t>
      </w:r>
      <w:proofErr w:type="gramStart"/>
      <w:r w:rsidRPr="00DD4928">
        <w:rPr>
          <w:rFonts w:ascii="Times New Roman" w:eastAsia="Times New Roman" w:hAnsi="Times New Roman" w:cs="Times New Roman"/>
          <w:sz w:val="24"/>
          <w:szCs w:val="24"/>
        </w:rPr>
        <w:t>gao</w:t>
      </w:r>
      <w:proofErr w:type="gramEnd"/>
      <w:r w:rsidRPr="00DD4928">
        <w:rPr>
          <w:rFonts w:ascii="Times New Roman" w:eastAsia="Times New Roman" w:hAnsi="Times New Roman" w:cs="Times New Roman"/>
          <w:sz w:val="24"/>
          <w:szCs w:val="24"/>
        </w:rPr>
        <w:t xml:space="preserve"> và phân bón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Nhu cầu phân bón trong nước vẫn rất cao (cung sản xuất trong nước chưa đáp ứng đủ) cộng với nhu cầu nhập khẩu gạo ngày một lớn trong bối cảnh TG luôn phải cảnh giác trước nguy cơ khủng hoảng lương thực đang mở ra những cơ hội phát triển kinh doanh rất lớn cho TSC.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color w:val="FF0000"/>
          <w:sz w:val="24"/>
          <w:szCs w:val="24"/>
        </w:rPr>
        <w:t>Thách thức: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Từ nay đến năm 2010, nếu nhà máy phân đạm Ninh Bình (trực thuộc TCT Hóa chất VN) và Nhà máy phân đạm Cà Mau (trực thuộc Tập đoàn Dầu Khí VN) đi vào hoạt động thì VN sẽ đáp ứng đủ nhu cầu Urê trong nước gây áp lực lên thị phần Urê nhập khẩu của TSC.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Áp lực bảo đảm </w:t>
      </w:r>
      <w:proofErr w:type="gramStart"/>
      <w:r w:rsidRPr="00DD4928">
        <w:rPr>
          <w:rFonts w:ascii="Times New Roman" w:eastAsia="Times New Roman" w:hAnsi="Times New Roman" w:cs="Times New Roman"/>
          <w:sz w:val="24"/>
          <w:szCs w:val="24"/>
        </w:rPr>
        <w:t>an</w:t>
      </w:r>
      <w:proofErr w:type="gramEnd"/>
      <w:r w:rsidRPr="00DD4928">
        <w:rPr>
          <w:rFonts w:ascii="Times New Roman" w:eastAsia="Times New Roman" w:hAnsi="Times New Roman" w:cs="Times New Roman"/>
          <w:sz w:val="24"/>
          <w:szCs w:val="24"/>
        </w:rPr>
        <w:t xml:space="preserve"> ninh lương thực quốc gia trong bối cảnh thị trường gạo TG diễn biến bất thường trong thời gian tới sẽ tác động trực tiếp đến hoạt động xuất khẩu gạo của TSC.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Thiên tai, sâu bệnh, mất mùa, giá cả nông sản bấp bênh sẽ ảnh hưởng lớn đến nhu cầu tiêu thụ phân bón cho hoạt động sản xuất nông nghiệp trên địa bàn Đồng bằng Sông Cửu Long, thị trường tiêu thụ chính sản phẩm của TSC.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sz w:val="28"/>
          <w:szCs w:val="28"/>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sz w:val="28"/>
          <w:szCs w:val="28"/>
        </w:rPr>
        <w:t>Phân tích tình hình tài chính</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Doanh </w:t>
      </w:r>
      <w:proofErr w:type="gramStart"/>
      <w:r w:rsidRPr="00DD4928">
        <w:rPr>
          <w:rFonts w:ascii="Times New Roman" w:eastAsia="Times New Roman" w:hAnsi="Times New Roman" w:cs="Times New Roman"/>
          <w:sz w:val="24"/>
          <w:szCs w:val="24"/>
        </w:rPr>
        <w:t>thu</w:t>
      </w:r>
      <w:proofErr w:type="gramEnd"/>
      <w:r w:rsidRPr="00DD4928">
        <w:rPr>
          <w:rFonts w:ascii="Times New Roman" w:eastAsia="Times New Roman" w:hAnsi="Times New Roman" w:cs="Times New Roman"/>
          <w:sz w:val="24"/>
          <w:szCs w:val="24"/>
        </w:rPr>
        <w:t xml:space="preserve"> lũy kế 6 tháng đạt 1.315,770 tỷ đồng và tổng lợi nhuận kế toán trước thuế đạt 100,909 tỷ đồng. Kết quả kinh doanh 6 tháng gần bằng kết quả kinh doanh năm 2007 (doanh </w:t>
      </w:r>
      <w:proofErr w:type="gramStart"/>
      <w:r w:rsidRPr="00DD4928">
        <w:rPr>
          <w:rFonts w:ascii="Times New Roman" w:eastAsia="Times New Roman" w:hAnsi="Times New Roman" w:cs="Times New Roman"/>
          <w:sz w:val="24"/>
          <w:szCs w:val="24"/>
        </w:rPr>
        <w:t>thu</w:t>
      </w:r>
      <w:proofErr w:type="gramEnd"/>
      <w:r w:rsidRPr="00DD4928">
        <w:rPr>
          <w:rFonts w:ascii="Times New Roman" w:eastAsia="Times New Roman" w:hAnsi="Times New Roman" w:cs="Times New Roman"/>
          <w:sz w:val="24"/>
          <w:szCs w:val="24"/>
        </w:rPr>
        <w:t xml:space="preserve"> 1.376,645 tỷ đồng; LNTT 79,971 tỷ đồng). </w:t>
      </w:r>
      <w:proofErr w:type="gramStart"/>
      <w:r w:rsidRPr="00DD4928">
        <w:rPr>
          <w:rFonts w:ascii="Times New Roman" w:eastAsia="Times New Roman" w:hAnsi="Times New Roman" w:cs="Times New Roman"/>
          <w:sz w:val="24"/>
          <w:szCs w:val="24"/>
        </w:rPr>
        <w:t>EPS (6 tháng đầu năm 2008) đạt 9.741 đồng, cao hơn mức 9.330 đồng của cả năm 2007.</w:t>
      </w:r>
      <w:proofErr w:type="gramEnd"/>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Một số chỉ số tài chính:</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lastRenderedPageBreak/>
        <w:t>            + Là một DN hoạt động trong lĩnh vực nông nghiệp nên TSNH luôn chiếm tỷ trọng chính trong Tổng TS (hơn 90%).</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 Cơ cấu nguồn vốn thiên về nợ phải trả (chiếm từ 65% - 80%) trong tổng NV.</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 Khả năng thanh toán đang được cải thiện dần, KNTTHH lớn hơn 1 trong khi KNTTN xấp xỉ 1.</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xml:space="preserve">            + Hiệu quả sử dụng tài sản và VCSH của TSC tương đối cao so với các DN cùng ngành. </w:t>
      </w:r>
      <w:proofErr w:type="gramStart"/>
      <w:r w:rsidRPr="00DD4928">
        <w:rPr>
          <w:rFonts w:ascii="Times New Roman" w:eastAsia="Times New Roman" w:hAnsi="Times New Roman" w:cs="Times New Roman"/>
          <w:sz w:val="24"/>
          <w:szCs w:val="24"/>
        </w:rPr>
        <w:t>Chỉ tiêu ROA (năm 2007) hơn 15%, ROE (năm 2007) gần 44%.</w:t>
      </w:r>
      <w:proofErr w:type="gramEnd"/>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b/>
          <w:bCs/>
          <w:sz w:val="28"/>
          <w:szCs w:val="28"/>
        </w:rPr>
        <w:t>Chiến lược và kế hoạch phát triển</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Tiếp tục tiếp nhận, bồi dưỡng và thay thế (nếu xét thấy cần thiết) nhân lực ở tất cả các vị trí trong Công ty để đảm bảo có một nguồn nhân lực có chất lượng đủ sức hoàn thành nhiệm vụ được giao. CB.CNV phải thường xuyên cập nhật thông tin mới nhất về chuyên môn của mình hoặc Công ty cử CB.CNV tham gia các lớp tập huấn ngắn hạn nhằm nâng cao trình độ để đáp ứng được nhu cầu ngày càng cao của công việc…</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Tiếp tục cập nhật thông tin, thắt chặt hơn nữa mối quan hệ giữa TSC với các nhà cung cấp nước ngoài để chủ động trong việc tìm kiếm nguồn hàng nhằm đáp ứng cho sự phát triển của Công ty.</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sz w:val="24"/>
          <w:szCs w:val="24"/>
        </w:rPr>
        <w:t>- Mở rộng hệ thống đại lý tiêu thụ ở thị trường trong nước đảm bảo quá trình luân chuyển hàng hóa thông suốt, quay vòng vốn nhanh để nâng cao hiệu quả kinh tế.</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color w:val="000000"/>
          <w:sz w:val="24"/>
          <w:szCs w:val="24"/>
        </w:rPr>
        <w:t xml:space="preserve">- Tiếp tục lấy tiêu chí quản trị: </w:t>
      </w:r>
      <w:r w:rsidRPr="00DD4928">
        <w:rPr>
          <w:rFonts w:ascii="Times New Roman" w:eastAsia="Times New Roman" w:hAnsi="Times New Roman" w:cs="Times New Roman"/>
          <w:color w:val="FF0000"/>
          <w:sz w:val="24"/>
          <w:szCs w:val="24"/>
        </w:rPr>
        <w:t>Chính Xác- Kịp Thời- Công Khai, Minh Bạch- Trung Thực Và</w:t>
      </w:r>
    </w:p>
    <w:p w:rsidR="00DD4928" w:rsidRPr="00DD4928" w:rsidRDefault="00DD4928" w:rsidP="00FB7346">
      <w:pPr>
        <w:spacing w:after="0" w:line="360" w:lineRule="auto"/>
        <w:jc w:val="both"/>
        <w:rPr>
          <w:rFonts w:ascii="Times New Roman" w:eastAsia="Times New Roman" w:hAnsi="Times New Roman" w:cs="Times New Roman"/>
          <w:sz w:val="24"/>
          <w:szCs w:val="24"/>
        </w:rPr>
      </w:pPr>
      <w:proofErr w:type="gramStart"/>
      <w:r w:rsidRPr="00DD4928">
        <w:rPr>
          <w:rFonts w:ascii="Times New Roman" w:eastAsia="Times New Roman" w:hAnsi="Times New Roman" w:cs="Times New Roman"/>
          <w:color w:val="FF0000"/>
          <w:sz w:val="24"/>
          <w:szCs w:val="24"/>
        </w:rPr>
        <w:t xml:space="preserve">Đúng Pháp Luật </w:t>
      </w:r>
      <w:r w:rsidRPr="00DD4928">
        <w:rPr>
          <w:rFonts w:ascii="Times New Roman" w:eastAsia="Times New Roman" w:hAnsi="Times New Roman" w:cs="Times New Roman"/>
          <w:color w:val="000000"/>
          <w:sz w:val="24"/>
          <w:szCs w:val="24"/>
        </w:rPr>
        <w:t>làm cơ sở áp dụng trong tất cả các khâu của quá trình tổ chức quản lý hoạt động sản xuất kinh doanh.</w:t>
      </w:r>
      <w:proofErr w:type="gramEnd"/>
      <w:r w:rsidRPr="00DD4928">
        <w:rPr>
          <w:rFonts w:ascii="Times New Roman" w:eastAsia="Times New Roman" w:hAnsi="Times New Roman" w:cs="Times New Roman"/>
          <w:color w:val="000000"/>
          <w:sz w:val="24"/>
          <w:szCs w:val="24"/>
        </w:rPr>
        <w:t xml:space="preserve"> </w:t>
      </w:r>
    </w:p>
    <w:p w:rsidR="00DD4928" w:rsidRPr="00DD4928" w:rsidRDefault="00DD4928" w:rsidP="00FB7346">
      <w:pPr>
        <w:spacing w:after="0" w:line="360" w:lineRule="auto"/>
        <w:jc w:val="both"/>
        <w:rPr>
          <w:rFonts w:ascii="Times New Roman" w:eastAsia="Times New Roman" w:hAnsi="Times New Roman" w:cs="Times New Roman"/>
          <w:sz w:val="24"/>
          <w:szCs w:val="24"/>
        </w:rPr>
      </w:pPr>
      <w:r w:rsidRPr="00DD4928">
        <w:rPr>
          <w:rFonts w:ascii="Times New Roman" w:eastAsia="Times New Roman" w:hAnsi="Times New Roman" w:cs="Times New Roman"/>
          <w:color w:val="000000"/>
          <w:sz w:val="24"/>
          <w:szCs w:val="24"/>
        </w:rPr>
        <w:t xml:space="preserve">- </w:t>
      </w:r>
      <w:r w:rsidRPr="00DD4928">
        <w:rPr>
          <w:rFonts w:ascii="Times New Roman" w:eastAsia="Times New Roman" w:hAnsi="Times New Roman" w:cs="Times New Roman"/>
          <w:sz w:val="24"/>
          <w:szCs w:val="24"/>
        </w:rPr>
        <w:t>Công ty đầu tư vào dây truyền cấp đông IQF hiện đại</w:t>
      </w:r>
      <w:r w:rsidRPr="00DD4928">
        <w:rPr>
          <w:rFonts w:ascii="Times New Roman" w:eastAsia="Times New Roman" w:hAnsi="Times New Roman" w:cs="Times New Roman"/>
          <w:color w:val="000000"/>
          <w:sz w:val="24"/>
          <w:szCs w:val="24"/>
        </w:rPr>
        <w:t xml:space="preserve"> </w:t>
      </w:r>
      <w:r w:rsidRPr="00DD4928">
        <w:rPr>
          <w:rFonts w:ascii="Times New Roman" w:eastAsia="Times New Roman" w:hAnsi="Times New Roman" w:cs="Times New Roman"/>
          <w:sz w:val="24"/>
          <w:szCs w:val="24"/>
        </w:rPr>
        <w:t>500kg/giờ cho việc cấp đông nông sản tại WFC.</w:t>
      </w:r>
    </w:p>
    <w:p w:rsidR="00F50DD9" w:rsidRDefault="00F50DD9" w:rsidP="00FB7346">
      <w:pPr>
        <w:spacing w:line="360" w:lineRule="auto"/>
        <w:jc w:val="both"/>
      </w:pPr>
    </w:p>
    <w:sectPr w:rsidR="00F50DD9" w:rsidSect="00FB7346">
      <w:pgSz w:w="11909" w:h="16834" w:code="9"/>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DD4928"/>
    <w:rsid w:val="00DD4928"/>
    <w:rsid w:val="00F50DD9"/>
    <w:rsid w:val="00FB7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34971307">
      <w:bodyDiv w:val="1"/>
      <w:marLeft w:val="0"/>
      <w:marRight w:val="0"/>
      <w:marTop w:val="0"/>
      <w:marBottom w:val="0"/>
      <w:divBdr>
        <w:top w:val="none" w:sz="0" w:space="0" w:color="auto"/>
        <w:left w:val="none" w:sz="0" w:space="0" w:color="auto"/>
        <w:bottom w:val="none" w:sz="0" w:space="0" w:color="auto"/>
        <w:right w:val="none" w:sz="0" w:space="0" w:color="auto"/>
      </w:divBdr>
      <w:divsChild>
        <w:div w:id="2040425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1050</Words>
  <Characters>5987</Characters>
  <Application>Microsoft Office Word</Application>
  <DocSecurity>0</DocSecurity>
  <Lines>49</Lines>
  <Paragraphs>14</Paragraphs>
  <ScaleCrop>false</ScaleCrop>
  <Company>ht2dsoftware</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NgoPhuong</dc:creator>
  <cp:keywords/>
  <dc:description/>
  <cp:lastModifiedBy>NgoPhuong</cp:lastModifiedBy>
  <cp:revision>3</cp:revision>
  <dcterms:created xsi:type="dcterms:W3CDTF">2009-09-29T09:54:00Z</dcterms:created>
  <dcterms:modified xsi:type="dcterms:W3CDTF">2009-09-29T09:56:00Z</dcterms:modified>
</cp:coreProperties>
</file>